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137"/>
        <w:gridCol w:w="571"/>
        <w:gridCol w:w="4648"/>
      </w:tblGrid>
      <w:tr>
        <w:trPr>
          <w:trHeight w:hRule="exact" w:val="482"/>
        </w:trPr>
        <w:tc>
          <w:tcPr>
            <w:tcW w:type="dxa" w:w="4137"/>
            <w:tcMar>
              <w:left w:type="dxa" w:w="0"/>
              <w:right w:type="dxa" w:w="0"/>
            </w:tcMar>
          </w:tcPr>
          <w:p w14:paraId="05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571"/>
            <w:tcMar>
              <w:left w:type="dxa" w:w="0"/>
              <w:right w:type="dxa" w:w="0"/>
            </w:tcMar>
          </w:tcPr>
          <w:p/>
        </w:tc>
        <w:tc>
          <w:tcPr>
            <w:tcW w:type="dxa" w:w="4648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662"/>
        </w:trPr>
        <w:tc>
          <w:tcPr>
            <w:tcW w:type="dxa" w:w="4137"/>
            <w:tcMar>
              <w:left w:type="dxa" w:w="0"/>
              <w:right w:type="dxa" w:w="0"/>
            </w:tcMar>
          </w:tcPr>
          <w:p/>
        </w:tc>
        <w:tc>
          <w:tcPr>
            <w:tcW w:type="dxa" w:w="571"/>
            <w:tcMar>
              <w:left w:type="dxa" w:w="0"/>
              <w:right w:type="dxa" w:w="0"/>
            </w:tcMar>
          </w:tcPr>
          <w:p/>
        </w:tc>
        <w:tc>
          <w:tcPr>
            <w:tcW w:type="dxa" w:w="4648"/>
            <w:tcMar>
              <w:left w:type="dxa" w:w="0"/>
              <w:right w:type="dxa" w:w="0"/>
            </w:tcMar>
          </w:tcPr>
          <w:p w14:paraId="06000000">
            <w:pPr>
              <w:tabs>
                <w:tab w:leader="none" w:pos="1170" w:val="left"/>
              </w:tabs>
              <w:ind/>
            </w:pPr>
          </w:p>
        </w:tc>
      </w:tr>
    </w:tbl>
    <w:p w14:paraId="07000000">
      <w:pPr>
        <w:ind/>
        <w:jc w:val="both"/>
        <w:rPr>
          <w:sz w:val="20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969"/>
      </w:tblGrid>
      <w:tr>
        <w:tc>
          <w:tcPr>
            <w:tcW w:type="dxa" w:w="3969"/>
            <w:tcMar>
              <w:left w:type="dxa" w:w="0"/>
              <w:right w:type="dxa" w:w="0"/>
            </w:tcMar>
          </w:tcPr>
          <w:p/>
        </w:tc>
      </w:tr>
    </w:tbl>
    <w:p w14:paraId="08000000">
      <w:pPr>
        <w:tabs>
          <w:tab w:leader="none" w:pos="993" w:val="left"/>
          <w:tab w:leader="none" w:pos="1276" w:val="left"/>
        </w:tabs>
        <w:ind w:firstLine="709" w:left="0"/>
        <w:jc w:val="both"/>
      </w:pPr>
    </w:p>
    <w:p w14:paraId="09000000">
      <w:pPr>
        <w:ind/>
        <w:jc w:val="both"/>
      </w:pPr>
    </w:p>
    <w:p w14:paraId="0A000000">
      <w:pPr>
        <w:ind/>
        <w:jc w:val="both"/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676"/>
        <w:gridCol w:w="4679"/>
      </w:tblGrid>
      <w:tr>
        <w:trPr>
          <w:trHeight w:hRule="atLeast" w:val="399"/>
        </w:trPr>
        <w:tc>
          <w:tcPr>
            <w:tcW w:type="dxa" w:w="4676"/>
            <w:tcMar>
              <w:left w:type="dxa" w:w="0"/>
              <w:right w:type="dxa" w:w="0"/>
            </w:tcMar>
          </w:tcPr>
          <w:p w14:paraId="0B000000"/>
          <w:p w14:paraId="0C000000">
            <w:pPr>
              <w:ind/>
              <w:jc w:val="both"/>
            </w:pPr>
          </w:p>
        </w:tc>
        <w:tc>
          <w:tcPr>
            <w:tcW w:type="dxa" w:w="4679"/>
            <w:tcMar>
              <w:left w:type="dxa" w:w="0"/>
              <w:right w:type="dxa" w:w="0"/>
            </w:tcMar>
            <w:vAlign w:val="bottom"/>
          </w:tcPr>
          <w:p w14:paraId="0D000000">
            <w:pPr>
              <w:ind w:firstLine="0" w:left="107"/>
              <w:jc w:val="right"/>
            </w:pPr>
            <w:r>
              <w:t>А.Н. Гудков</w:t>
            </w:r>
          </w:p>
          <w:p w14:paraId="0E000000">
            <w:pPr>
              <w:ind/>
              <w:jc w:val="right"/>
            </w:pPr>
          </w:p>
        </w:tc>
      </w:tr>
    </w:tbl>
    <w:p w14:paraId="0F000000">
      <w:pPr>
        <w:ind/>
        <w:jc w:val="both"/>
      </w:pPr>
      <w:bookmarkStart w:id="1" w:name="DigSignature"/>
      <w:bookmarkEnd w:id="1"/>
    </w:p>
    <w:p w14:paraId="10000000">
      <w:pPr>
        <w:ind/>
        <w:jc w:val="right"/>
      </w:pPr>
      <w:r>
        <w:t>Приложение 4</w:t>
      </w:r>
    </w:p>
    <w:p w14:paraId="11000000">
      <w:pPr>
        <w:ind w:firstLine="709"/>
        <w:jc w:val="right"/>
      </w:pPr>
      <w:r>
        <w:rPr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43815</wp:posOffset>
            </wp:positionH>
            <wp:positionV relativeFrom="paragraph">
              <wp:posOffset>174625</wp:posOffset>
            </wp:positionV>
            <wp:extent cx="1013460" cy="1371600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01346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2000000">
      <w:pPr>
        <w:ind/>
        <w:jc w:val="center"/>
        <w:rPr>
          <w:b w:val="1"/>
        </w:rPr>
      </w:pPr>
      <w:r>
        <w:rPr>
          <w:b w:val="1"/>
        </w:rPr>
        <w:t>Информация об областном профориентационном мероприятии</w:t>
      </w:r>
      <w:r>
        <w:rPr>
          <w:b w:val="1"/>
        </w:rPr>
        <w:t xml:space="preserve"> </w:t>
      </w:r>
      <w:r>
        <w:rPr>
          <w:b w:val="1"/>
        </w:rPr>
        <w:t xml:space="preserve">«Скажи профессии «Да!» </w:t>
      </w:r>
    </w:p>
    <w:p w14:paraId="13000000">
      <w:pPr>
        <w:ind/>
        <w:jc w:val="center"/>
      </w:pPr>
    </w:p>
    <w:p w14:paraId="14000000">
      <w:pPr>
        <w:ind w:firstLine="720" w:right="-5"/>
        <w:jc w:val="both"/>
        <w:rPr>
          <w:sz w:val="24"/>
        </w:rPr>
      </w:pPr>
      <w:r>
        <w:rPr>
          <w:sz w:val="24"/>
        </w:rPr>
        <w:t xml:space="preserve">В 2021-2022 учебном году пройдёт ежегодное областное профориентационное мероприятие для учащихся 9-х классов «Скажи профессии «Да!» </w:t>
      </w:r>
      <w:r>
        <w:rPr>
          <w:sz w:val="24"/>
        </w:rPr>
        <w:t xml:space="preserve">(далее – мероприятие) </w:t>
      </w:r>
      <w:r>
        <w:rPr>
          <w:sz w:val="24"/>
        </w:rPr>
        <w:t xml:space="preserve">в формате онлайн </w:t>
      </w: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риказ департамента образования Ярославской области от 28.10.2021 № 261/01–04).</w:t>
      </w:r>
      <w:r>
        <w:rPr>
          <w:sz w:val="24"/>
        </w:rPr>
        <w:t xml:space="preserve"> </w:t>
      </w:r>
    </w:p>
    <w:p w14:paraId="15000000">
      <w:pPr>
        <w:tabs>
          <w:tab w:leader="none" w:pos="709" w:val="left"/>
        </w:tabs>
        <w:ind w:firstLine="720" w:right="-5"/>
        <w:jc w:val="both"/>
        <w:rPr>
          <w:sz w:val="24"/>
        </w:rPr>
      </w:pPr>
      <w:r>
        <w:rPr>
          <w:sz w:val="24"/>
        </w:rPr>
        <w:t>Мероприятие н</w:t>
      </w:r>
      <w:r>
        <w:rPr>
          <w:sz w:val="24"/>
        </w:rPr>
        <w:t>осит межведомственный и междисциплинарный характер, проводится во исполнение</w:t>
      </w:r>
      <w:r>
        <w:rPr>
          <w:sz w:val="24"/>
        </w:rPr>
        <w:t>:</w:t>
      </w:r>
    </w:p>
    <w:p w14:paraId="16000000">
      <w:pPr>
        <w:pStyle w:val="Style_5"/>
        <w:numPr>
          <w:ilvl w:val="0"/>
          <w:numId w:val="1"/>
        </w:numPr>
        <w:tabs>
          <w:tab w:leader="none" w:pos="993" w:val="left"/>
        </w:tabs>
        <w:ind w:firstLine="709" w:left="0"/>
        <w:jc w:val="both"/>
      </w:pPr>
      <w:r>
        <w:t xml:space="preserve">поручения Президента Российской Федерации по итогам заседания Президиума Государственного Совета Российской Федерации 25 августа 2021 г., п. 6-а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"http://kremlin.ru/acts/assignments/orders/66780"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http://kremlin.ru/acts/assignments/orders/66780</w:t>
      </w:r>
      <w:r>
        <w:rPr>
          <w:rStyle w:val="Style_6_ch"/>
        </w:rPr>
        <w:fldChar w:fldCharType="end"/>
      </w:r>
    </w:p>
    <w:p w14:paraId="17000000">
      <w:pPr>
        <w:pStyle w:val="Style_5"/>
        <w:numPr>
          <w:ilvl w:val="0"/>
          <w:numId w:val="1"/>
        </w:numPr>
        <w:tabs>
          <w:tab w:leader="none" w:pos="993" w:val="left"/>
        </w:tabs>
        <w:ind w:firstLine="709" w:left="0"/>
        <w:jc w:val="both"/>
      </w:pPr>
      <w:r>
        <w:t xml:space="preserve">«Комплекс мер по развитию профессиональной ориентации обучающихся и содействию трудоустройству выпускников, обучавшихся по программам среднего профессионального образования в Ярославской области, на 2021-2024 гг.»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"http://resurs-yar.ru/files/spec/km_2021_2024_proekt.pdf"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http://resurs-yar.ru/files/spec/km_2021_2024_proekt.pdf</w:t>
      </w:r>
      <w:r>
        <w:rPr>
          <w:rStyle w:val="Style_6_ch"/>
        </w:rPr>
        <w:fldChar w:fldCharType="end"/>
      </w:r>
      <w:r>
        <w:t xml:space="preserve"> </w:t>
      </w:r>
    </w:p>
    <w:p w14:paraId="18000000">
      <w:pPr>
        <w:tabs>
          <w:tab w:leader="none" w:pos="0" w:val="left"/>
          <w:tab w:leader="none" w:pos="993" w:val="left"/>
        </w:tabs>
        <w:ind w:firstLine="720" w:right="-5"/>
        <w:jc w:val="both"/>
        <w:rPr>
          <w:sz w:val="24"/>
        </w:rPr>
      </w:pPr>
      <w:r>
        <w:rPr>
          <w:sz w:val="24"/>
        </w:rPr>
        <w:t>Мероприятие включено в «Примерный план по сопровождению профессионального самоопределения обучающихся Ярославской области на 202</w:t>
      </w:r>
      <w:r>
        <w:rPr>
          <w:sz w:val="24"/>
        </w:rPr>
        <w:t>1</w:t>
      </w:r>
      <w:r>
        <w:rPr>
          <w:sz w:val="24"/>
        </w:rPr>
        <w:t>-202</w:t>
      </w:r>
      <w:r>
        <w:rPr>
          <w:sz w:val="24"/>
        </w:rPr>
        <w:t>2</w:t>
      </w:r>
      <w:r>
        <w:rPr>
          <w:sz w:val="24"/>
        </w:rPr>
        <w:t> </w:t>
      </w:r>
      <w:r>
        <w:rPr>
          <w:sz w:val="24"/>
        </w:rPr>
        <w:t xml:space="preserve">уч.г.»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"http://resurs-yar.ru/files/spec/24_713421.pdf"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</w:t>
      </w:r>
      <w:r>
        <w:rPr>
          <w:rStyle w:val="Style_6_ch"/>
          <w:sz w:val="24"/>
        </w:rPr>
        <w:t>://</w:t>
      </w:r>
      <w:r>
        <w:rPr>
          <w:rStyle w:val="Style_6_ch"/>
          <w:sz w:val="24"/>
        </w:rPr>
        <w:t>resurs</w:t>
      </w:r>
      <w:r>
        <w:rPr>
          <w:rStyle w:val="Style_6_ch"/>
          <w:sz w:val="24"/>
        </w:rPr>
        <w:t>-</w:t>
      </w:r>
      <w:r>
        <w:rPr>
          <w:rStyle w:val="Style_6_ch"/>
          <w:sz w:val="24"/>
        </w:rPr>
        <w:t>yar</w:t>
      </w:r>
      <w:r>
        <w:rPr>
          <w:rStyle w:val="Style_6_ch"/>
          <w:sz w:val="24"/>
        </w:rPr>
        <w:t>.</w:t>
      </w:r>
      <w:r>
        <w:rPr>
          <w:rStyle w:val="Style_6_ch"/>
          <w:sz w:val="24"/>
        </w:rPr>
        <w:t>ru</w:t>
      </w:r>
      <w:r>
        <w:rPr>
          <w:rStyle w:val="Style_6_ch"/>
          <w:sz w:val="24"/>
        </w:rPr>
        <w:t>/</w:t>
      </w:r>
      <w:r>
        <w:rPr>
          <w:rStyle w:val="Style_6_ch"/>
          <w:sz w:val="24"/>
        </w:rPr>
        <w:t>files</w:t>
      </w:r>
      <w:r>
        <w:rPr>
          <w:rStyle w:val="Style_6_ch"/>
          <w:sz w:val="24"/>
        </w:rPr>
        <w:t>/</w:t>
      </w:r>
      <w:r>
        <w:rPr>
          <w:rStyle w:val="Style_6_ch"/>
          <w:sz w:val="24"/>
        </w:rPr>
        <w:t>spec</w:t>
      </w:r>
      <w:r>
        <w:rPr>
          <w:rStyle w:val="Style_6_ch"/>
          <w:sz w:val="24"/>
        </w:rPr>
        <w:t>/24_713421.</w:t>
      </w:r>
      <w:r>
        <w:rPr>
          <w:rStyle w:val="Style_6_ch"/>
          <w:sz w:val="24"/>
        </w:rPr>
        <w:t>pdf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</w:t>
      </w:r>
    </w:p>
    <w:p w14:paraId="19000000">
      <w:pPr>
        <w:ind w:firstLine="720" w:right="-5"/>
        <w:jc w:val="both"/>
        <w:rPr>
          <w:sz w:val="24"/>
        </w:rPr>
      </w:pPr>
      <w:r>
        <w:rPr>
          <w:sz w:val="24"/>
        </w:rPr>
        <w:t xml:space="preserve">Цели мероприятия: </w:t>
      </w:r>
    </w:p>
    <w:p w14:paraId="1A000000">
      <w:pPr>
        <w:numPr>
          <w:ilvl w:val="0"/>
          <w:numId w:val="2"/>
        </w:numPr>
        <w:tabs>
          <w:tab w:leader="none" w:pos="993" w:val="left"/>
        </w:tabs>
        <w:ind w:firstLine="720" w:left="0" w:right="-5"/>
        <w:contextualSpacing w:val="1"/>
        <w:jc w:val="both"/>
        <w:rPr>
          <w:sz w:val="24"/>
        </w:rPr>
      </w:pPr>
      <w:r>
        <w:rPr>
          <w:sz w:val="24"/>
        </w:rPr>
        <w:t> Активизировать процесс профессионального самоопределения учащихся за счёт актуализации ключевых факторов самоопределения  и освоения современных средств профессионально-образовательной навигации.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ind w:firstLine="720" w:left="0" w:right="-5"/>
        <w:contextualSpacing w:val="1"/>
        <w:jc w:val="both"/>
        <w:rPr>
          <w:sz w:val="24"/>
        </w:rPr>
      </w:pPr>
      <w:r>
        <w:rPr>
          <w:sz w:val="24"/>
        </w:rPr>
        <w:t xml:space="preserve"> Повысить </w:t>
      </w:r>
      <w:r>
        <w:rPr>
          <w:sz w:val="24"/>
        </w:rPr>
        <w:t>информированность о системе среднего профессионального образования, успешной профессиональной самореализации выпускников в высокотехнологичном обществе с учетом потребности экономики региона.</w:t>
      </w:r>
    </w:p>
    <w:p w14:paraId="1C000000">
      <w:pPr>
        <w:numPr>
          <w:ilvl w:val="0"/>
          <w:numId w:val="2"/>
        </w:numPr>
        <w:tabs>
          <w:tab w:leader="none" w:pos="965" w:val="left"/>
          <w:tab w:leader="none" w:pos="993" w:val="left"/>
        </w:tabs>
        <w:ind w:firstLine="720" w:left="0" w:right="-5"/>
        <w:contextualSpacing w:val="1"/>
        <w:jc w:val="both"/>
        <w:rPr>
          <w:sz w:val="24"/>
        </w:rPr>
      </w:pPr>
      <w:r>
        <w:rPr>
          <w:sz w:val="24"/>
        </w:rPr>
        <w:t xml:space="preserve"> Повысить привлекательность перспективных для региона профессий среднего профессионального образования.</w:t>
      </w:r>
    </w:p>
    <w:p w14:paraId="1D000000">
      <w:pPr>
        <w:ind w:firstLine="720" w:right="-5"/>
        <w:jc w:val="both"/>
        <w:rPr>
          <w:sz w:val="24"/>
        </w:rPr>
      </w:pPr>
      <w:r>
        <w:rPr>
          <w:sz w:val="24"/>
        </w:rPr>
        <w:t>Информированность о системе профессионального образования -  важный ресурс, обеспечивающий самостоятельный и осознанный выбор выпускником школы образовательного и профессионального пути. В течение последних лет в системе профессионального образования произошли значительные изменения.</w:t>
      </w:r>
    </w:p>
    <w:p w14:paraId="1E000000">
      <w:pPr>
        <w:ind w:firstLine="720" w:right="-5"/>
        <w:jc w:val="both"/>
        <w:rPr>
          <w:sz w:val="24"/>
        </w:rPr>
      </w:pPr>
      <w:r>
        <w:rPr>
          <w:sz w:val="24"/>
        </w:rPr>
        <w:t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 взаимосвязанных действий: прогноз потребностей в кадрах, навигацию по востребованным и перспективным профессиям, подготовку и переподготовку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14:paraId="1F000000">
      <w:pPr>
        <w:ind w:firstLine="720" w:right="-5"/>
        <w:jc w:val="both"/>
        <w:rPr>
          <w:sz w:val="24"/>
        </w:rPr>
      </w:pPr>
      <w:r>
        <w:rPr>
          <w:sz w:val="24"/>
        </w:rPr>
        <w:t>В связи, с чем в профессиональных образовательных организациях осуществляется подготовка по профессиям и специальностям, востребованным региональной экономикой. За счёт внедрения современного оборудования и технического оснащения повысился уровень подготовки обучающихся по рабочим профессиям и специальностям.</w:t>
      </w:r>
    </w:p>
    <w:p w14:paraId="20000000">
      <w:pPr>
        <w:tabs>
          <w:tab w:leader="none" w:pos="709" w:val="left"/>
        </w:tabs>
        <w:ind w:firstLine="720" w:right="-5"/>
        <w:jc w:val="both"/>
        <w:rPr>
          <w:sz w:val="24"/>
        </w:rPr>
      </w:pPr>
      <w:r>
        <w:rPr>
          <w:sz w:val="24"/>
        </w:rPr>
        <w:t>В ряде профессиональных образовательных организациях на основе дуального образования осуществляется подготовка рабочих кадров, соответствующих требованиям высокотехнологичных отраслей промышленности. Высокий уровень профессиональной подготовки позволил региону достичь высоких результатов в чемпионате по профессиональному мастерству по стандартам WORLDSKILLS.</w:t>
      </w:r>
    </w:p>
    <w:p w14:paraId="21000000">
      <w:pPr>
        <w:tabs>
          <w:tab w:leader="none" w:pos="709" w:val="left"/>
        </w:tabs>
        <w:ind w:firstLine="720" w:right="-5"/>
        <w:jc w:val="both"/>
        <w:rPr>
          <w:sz w:val="24"/>
        </w:rPr>
      </w:pPr>
      <w:r>
        <w:rPr>
          <w:sz w:val="24"/>
        </w:rPr>
        <w:t xml:space="preserve">В регионе функционирует система трудоустройства выпускников через информационный портал Рrofijump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"https://profijump.ru/"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https://profijump.ru/</w:t>
      </w:r>
      <w:r>
        <w:rPr>
          <w:rStyle w:val="Style_6_ch"/>
          <w:sz w:val="24"/>
        </w:rPr>
        <w:fldChar w:fldCharType="end"/>
      </w:r>
      <w:r>
        <w:rPr>
          <w:sz w:val="24"/>
        </w:rPr>
        <w:t>.</w:t>
      </w:r>
    </w:p>
    <w:p w14:paraId="22000000">
      <w:pPr>
        <w:ind w:firstLine="720" w:right="-5"/>
        <w:jc w:val="both"/>
        <w:rPr>
          <w:sz w:val="24"/>
        </w:rPr>
      </w:pPr>
      <w:r>
        <w:rPr>
          <w:sz w:val="24"/>
        </w:rPr>
        <w:t>В режиме онлайн обучающиеся, родители (законные представители)</w:t>
      </w:r>
      <w:r>
        <w:rPr>
          <w:sz w:val="24"/>
        </w:rPr>
        <w:t>, педагогические работники</w:t>
      </w:r>
      <w:r>
        <w:rPr>
          <w:sz w:val="24"/>
        </w:rPr>
        <w:t xml:space="preserve"> смогут познакомиться с:</w:t>
      </w:r>
    </w:p>
    <w:p w14:paraId="23000000">
      <w:pPr>
        <w:numPr>
          <w:ilvl w:val="0"/>
          <w:numId w:val="3"/>
        </w:numPr>
        <w:tabs>
          <w:tab w:leader="none" w:pos="0" w:val="left"/>
          <w:tab w:leader="none" w:pos="78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 xml:space="preserve">системой профессионального образования: преимуществах, требованиях к приёму, специфике профессий и специальностей; </w:t>
      </w:r>
    </w:p>
    <w:p w14:paraId="24000000">
      <w:pPr>
        <w:numPr>
          <w:ilvl w:val="0"/>
          <w:numId w:val="3"/>
        </w:numPr>
        <w:tabs>
          <w:tab w:leader="none" w:pos="0" w:val="left"/>
          <w:tab w:leader="none" w:pos="78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профессиями и специальностями профессиональных образовательных организаций;</w:t>
      </w:r>
    </w:p>
    <w:p w14:paraId="25000000">
      <w:pPr>
        <w:numPr>
          <w:ilvl w:val="0"/>
          <w:numId w:val="3"/>
        </w:numPr>
        <w:tabs>
          <w:tab w:leader="none" w:pos="0" w:val="left"/>
          <w:tab w:leader="none" w:pos="78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инвестиционно-приоритетными отраслями экономики;</w:t>
      </w:r>
    </w:p>
    <w:p w14:paraId="26000000">
      <w:pPr>
        <w:numPr>
          <w:ilvl w:val="0"/>
          <w:numId w:val="3"/>
        </w:numPr>
        <w:tabs>
          <w:tab w:leader="none" w:pos="0" w:val="left"/>
          <w:tab w:leader="none" w:pos="78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 xml:space="preserve">особенностями регионального рынка труда, перспективами его развития, востребованными профессиями и специальностями. </w:t>
      </w:r>
    </w:p>
    <w:p w14:paraId="27000000">
      <w:pPr>
        <w:tabs>
          <w:tab w:leader="none" w:pos="993" w:val="left"/>
        </w:tabs>
        <w:ind w:firstLine="720" w:right="-5"/>
        <w:jc w:val="both"/>
        <w:rPr>
          <w:sz w:val="24"/>
        </w:rPr>
      </w:pPr>
      <w:r>
        <w:rPr>
          <w:sz w:val="24"/>
        </w:rPr>
        <w:t xml:space="preserve">Мероприятие  проводится </w:t>
      </w:r>
      <w:r>
        <w:rPr>
          <w:sz w:val="24"/>
        </w:rPr>
        <w:t>в два этапа:</w:t>
      </w:r>
    </w:p>
    <w:p w14:paraId="28000000">
      <w:pPr>
        <w:tabs>
          <w:tab w:leader="none" w:pos="965" w:val="left"/>
        </w:tabs>
        <w:ind w:firstLine="720" w:right="-5"/>
        <w:jc w:val="both"/>
        <w:rPr>
          <w:sz w:val="24"/>
        </w:rPr>
      </w:pPr>
      <w:r>
        <w:rPr>
          <w:sz w:val="24"/>
        </w:rPr>
        <w:t xml:space="preserve">Первый этап – в формате онлайн </w:t>
      </w:r>
      <w:r>
        <w:rPr>
          <w:sz w:val="24"/>
        </w:rPr>
        <w:t>в региональной системе Webunicom</w:t>
      </w:r>
      <w:r>
        <w:rPr>
          <w:sz w:val="24"/>
        </w:rPr>
        <w:t xml:space="preserve"> согласно </w:t>
      </w:r>
      <w:r>
        <w:rPr>
          <w:sz w:val="24"/>
        </w:rPr>
        <w:t xml:space="preserve">графику </w:t>
      </w:r>
      <w:r>
        <w:rPr>
          <w:sz w:val="24"/>
        </w:rPr>
        <w:fldChar w:fldCharType="begin"/>
      </w:r>
      <w:r>
        <w:rPr>
          <w:sz w:val="24"/>
        </w:rPr>
        <w:instrText>HYPERLINK "http://resurs-yar.ru/files/dni_po/doc/grafik.pdf"</w:instrText>
      </w:r>
      <w:r>
        <w:rPr>
          <w:sz w:val="24"/>
        </w:rPr>
        <w:fldChar w:fldCharType="separate"/>
      </w:r>
      <w:r>
        <w:rPr>
          <w:sz w:val="24"/>
        </w:rPr>
        <w:t>http://resurs-yar.ru/files/dni_po/doc/grafik.pdf</w:t>
      </w:r>
      <w:r>
        <w:rPr>
          <w:sz w:val="24"/>
        </w:rPr>
        <w:fldChar w:fldCharType="end"/>
      </w:r>
      <w:r>
        <w:rPr>
          <w:sz w:val="24"/>
        </w:rPr>
        <w:t xml:space="preserve"> – навигация по информационным ресурсам, важным в профессиональном самоопределении старшеклассников.</w:t>
      </w:r>
    </w:p>
    <w:p w14:paraId="29000000">
      <w:pPr>
        <w:ind w:firstLine="709"/>
        <w:jc w:val="both"/>
        <w:rPr>
          <w:sz w:val="24"/>
        </w:rPr>
      </w:pPr>
      <w:r>
        <w:rPr>
          <w:sz w:val="24"/>
        </w:rPr>
        <w:t xml:space="preserve">Второй этап – самостоятельное ознакомление старшеклассников с информационными материалами мероприятия, консультации (индивидуальные и групповые) специалистами </w:t>
      </w:r>
      <w:r>
        <w:rPr>
          <w:sz w:val="24"/>
        </w:rPr>
        <w:t xml:space="preserve">государственного учреждения Ярославской области  «Центр профессиональной ориентации и психологической поддержки «Ресурс» (далее - </w:t>
      </w:r>
      <w:r>
        <w:rPr>
          <w:sz w:val="24"/>
        </w:rPr>
        <w:t>Центр</w:t>
      </w:r>
      <w:r>
        <w:rPr>
          <w:sz w:val="24"/>
        </w:rPr>
        <w:t xml:space="preserve"> «Ресурс») по заявкам общеобразовательных организаций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"http://resurs-yar.ru/"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http://resurs-yar.ru/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,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"https://shpb.edu.yar.ru/"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https://shpb.edu.yar.ru/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,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"https://vk.com/prof_resurs"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https://vk.com/prof_resurs</w:t>
      </w:r>
      <w:r>
        <w:rPr>
          <w:rStyle w:val="Style_6_ch"/>
          <w:sz w:val="24"/>
        </w:rPr>
        <w:fldChar w:fldCharType="end"/>
      </w:r>
    </w:p>
    <w:p w14:paraId="2A000000">
      <w:pPr>
        <w:tabs>
          <w:tab w:leader="none" w:pos="0" w:val="left"/>
          <w:tab w:leader="none" w:pos="993" w:val="left"/>
        </w:tabs>
        <w:ind w:firstLine="720" w:right="-5"/>
        <w:jc w:val="both"/>
        <w:rPr>
          <w:sz w:val="24"/>
        </w:rPr>
      </w:pPr>
      <w:r>
        <w:rPr>
          <w:sz w:val="24"/>
        </w:rPr>
        <w:t xml:space="preserve">Организаторы мероприятия: </w:t>
      </w:r>
    </w:p>
    <w:p w14:paraId="2B000000">
      <w:pPr>
        <w:numPr>
          <w:ilvl w:val="0"/>
          <w:numId w:val="4"/>
        </w:numPr>
        <w:tabs>
          <w:tab w:leader="none" w:pos="0" w:val="left"/>
          <w:tab w:leader="none" w:pos="72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департамент образования Ярославской области;</w:t>
      </w:r>
    </w:p>
    <w:p w14:paraId="2C000000">
      <w:pPr>
        <w:numPr>
          <w:ilvl w:val="0"/>
          <w:numId w:val="4"/>
        </w:numPr>
        <w:tabs>
          <w:tab w:leader="none" w:pos="0" w:val="left"/>
          <w:tab w:leader="none" w:pos="72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Центр</w:t>
      </w:r>
      <w:r>
        <w:rPr>
          <w:sz w:val="24"/>
        </w:rPr>
        <w:t xml:space="preserve"> «Ресурс»</w:t>
      </w:r>
      <w:r>
        <w:rPr>
          <w:sz w:val="24"/>
        </w:rPr>
        <w:t>;</w:t>
      </w:r>
    </w:p>
    <w:p w14:paraId="2D000000">
      <w:pPr>
        <w:numPr>
          <w:ilvl w:val="0"/>
          <w:numId w:val="4"/>
        </w:numPr>
        <w:tabs>
          <w:tab w:leader="none" w:pos="0" w:val="left"/>
          <w:tab w:leader="none" w:pos="72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Центр опережающей профессиональной подготовки;</w:t>
      </w:r>
    </w:p>
    <w:p w14:paraId="2E000000">
      <w:pPr>
        <w:numPr>
          <w:ilvl w:val="0"/>
          <w:numId w:val="4"/>
        </w:numPr>
        <w:tabs>
          <w:tab w:leader="none" w:pos="0" w:val="left"/>
          <w:tab w:leader="none" w:pos="720" w:val="clear"/>
          <w:tab w:leader="none" w:pos="993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органы местного самоуправления, осуществляющие управление в сфере образования.</w:t>
      </w:r>
    </w:p>
    <w:p w14:paraId="2F000000">
      <w:pPr>
        <w:ind w:firstLine="720" w:right="-5"/>
        <w:jc w:val="both"/>
        <w:rPr>
          <w:sz w:val="24"/>
        </w:rPr>
      </w:pPr>
      <w:r>
        <w:rPr>
          <w:sz w:val="24"/>
        </w:rPr>
        <w:t xml:space="preserve">Ежегодно в мероприятии принимают участие более 7000 человек (75% выпускников 9-х классов области). </w:t>
      </w:r>
    </w:p>
    <w:p w14:paraId="30000000">
      <w:pPr>
        <w:tabs>
          <w:tab w:leader="none" w:pos="965" w:val="left"/>
        </w:tabs>
        <w:ind w:firstLine="720" w:right="-5"/>
        <w:jc w:val="both"/>
        <w:rPr>
          <w:sz w:val="24"/>
        </w:rPr>
      </w:pPr>
      <w:r>
        <w:rPr>
          <w:sz w:val="24"/>
        </w:rPr>
        <w:t>Мероприятие освещается на сайтах департамента образования</w:t>
      </w:r>
      <w:r>
        <w:rPr>
          <w:sz w:val="24"/>
        </w:rPr>
        <w:t xml:space="preserve"> Ярославской</w:t>
      </w:r>
      <w:r>
        <w:rPr>
          <w:sz w:val="24"/>
        </w:rPr>
        <w:t xml:space="preserve"> области, </w:t>
      </w:r>
      <w:r>
        <w:rPr>
          <w:sz w:val="24"/>
        </w:rPr>
        <w:t>Центра </w:t>
      </w:r>
      <w:r>
        <w:rPr>
          <w:sz w:val="24"/>
        </w:rPr>
        <w:t>«Ресурс»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"http://resurs-yar.ru/specialistam/organizaciya_i_provedenie_proforientacionnoj_raboty/vremya_vybirat_professiyu_dni_po/"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http://resurs-yar.ru/specialistam/organizaciya_i_provedenie_proforientacionnoj_raboty/vremya_vybirat_professiyu_dni_po/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, профессиональных образовательных организаций, на радио, в средствах массовой информации. </w:t>
      </w:r>
    </w:p>
    <w:p w14:paraId="31000000">
      <w:pPr>
        <w:ind w:firstLine="720" w:right="-5"/>
        <w:jc w:val="both"/>
        <w:rPr>
          <w:sz w:val="24"/>
        </w:rPr>
      </w:pPr>
    </w:p>
    <w:p w14:paraId="32000000">
      <w:pPr>
        <w:ind w:firstLine="720" w:right="-5"/>
        <w:jc w:val="both"/>
        <w:rPr>
          <w:sz w:val="24"/>
        </w:rPr>
      </w:pPr>
      <w:r>
        <w:rPr>
          <w:sz w:val="24"/>
        </w:rPr>
        <w:t xml:space="preserve">Более подробную информацию о мероприятии можно получить в </w:t>
      </w:r>
      <w:r>
        <w:rPr>
          <w:sz w:val="24"/>
        </w:rPr>
        <w:t>Центре</w:t>
      </w:r>
      <w:r>
        <w:rPr>
          <w:sz w:val="24"/>
        </w:rPr>
        <w:t xml:space="preserve"> «Ресурс» (</w:t>
      </w:r>
      <w:r>
        <w:rPr>
          <w:sz w:val="24"/>
        </w:rPr>
        <w:t xml:space="preserve">150003, г. Ярославль, пр. Ленина, дом 13/67, </w:t>
      </w:r>
      <w:r>
        <w:rPr>
          <w:sz w:val="24"/>
        </w:rPr>
        <w:t>8(4852) 72-95-00</w:t>
      </w:r>
      <w:r>
        <w:rPr>
          <w:sz w:val="24"/>
        </w:rPr>
        <w:t xml:space="preserve">,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"mailto:root@resurs.edu.yar.ru"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root</w:t>
      </w:r>
      <w:r>
        <w:rPr>
          <w:color w:val="0000FF"/>
          <w:sz w:val="24"/>
          <w:u w:val="single"/>
        </w:rPr>
        <w:t>@</w:t>
      </w:r>
      <w:r>
        <w:rPr>
          <w:color w:val="0000FF"/>
          <w:sz w:val="24"/>
          <w:u w:val="single"/>
        </w:rPr>
        <w:t>resurs</w:t>
      </w:r>
      <w:r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>edu</w:t>
      </w:r>
      <w:r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>yar</w:t>
      </w:r>
      <w:r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>ru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>)</w:t>
      </w:r>
      <w:r>
        <w:rPr>
          <w:sz w:val="24"/>
        </w:rPr>
        <w:t>:</w:t>
      </w:r>
    </w:p>
    <w:p w14:paraId="33000000">
      <w:pPr>
        <w:ind w:firstLine="720" w:right="-5"/>
        <w:jc w:val="both"/>
        <w:rPr>
          <w:sz w:val="24"/>
        </w:rPr>
      </w:pPr>
      <w:r>
        <w:rPr>
          <w:sz w:val="24"/>
        </w:rPr>
        <w:t>–  Кузнецова Ирина Вениаминовна, директор, к.псих.н.</w:t>
      </w:r>
    </w:p>
    <w:p w14:paraId="34000000">
      <w:pPr>
        <w:ind w:firstLine="720" w:right="-5"/>
        <w:jc w:val="both"/>
        <w:rPr>
          <w:sz w:val="24"/>
        </w:rPr>
      </w:pPr>
      <w:r>
        <w:rPr>
          <w:sz w:val="24"/>
        </w:rPr>
        <w:t>– Лодеровский Артём Владимирович, заведующий отделом психологического сопровождения и консультирования.</w:t>
      </w:r>
    </w:p>
    <w:p w14:paraId="35000000">
      <w:pPr>
        <w:ind w:firstLine="709" w:right="-5"/>
        <w:jc w:val="both"/>
        <w:rPr>
          <w:sz w:val="24"/>
        </w:rPr>
      </w:pPr>
    </w:p>
    <w:p w14:paraId="36000000">
      <w:pPr>
        <w:ind w:firstLine="709" w:right="-5"/>
        <w:jc w:val="both"/>
        <w:rPr>
          <w:sz w:val="24"/>
        </w:rPr>
      </w:pPr>
      <w:r>
        <w:rPr>
          <w:sz w:val="24"/>
        </w:rPr>
        <w:t xml:space="preserve">Информация о мероприятии размещена на сайте Центра «Ресурс»: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"http://resurs-yar.ru/specialistam/organizaciya_i_provedenie_proforientacionnoj_raboty/vremya_vybirat_professiyu_dni_po/"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http://resurs-yar.ru/specialistam/organizaciya_i_provedenie_proforientacionnoj_raboty/vremya_vybirat_professiyu_dni_po/</w:t>
      </w:r>
      <w:r>
        <w:rPr>
          <w:rStyle w:val="Style_6_ch"/>
          <w:sz w:val="24"/>
        </w:rPr>
        <w:fldChar w:fldCharType="end"/>
      </w:r>
    </w:p>
    <w:sectPr>
      <w:pgSz w:h="16840" w:orient="portrait" w:w="11907"/>
      <w:pgMar w:bottom="993" w:footer="720" w:gutter="0" w:header="72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  <w:rPr>
        <w:sz w:val="18"/>
      </w:rPr>
    </w:pPr>
    <w:r>
      <w:rPr>
        <w:sz w:val="18"/>
      </w:rPr>
      <w:t>16 930 647</w:t>
    </w:r>
    <w:r>
      <w:rPr>
        <w:sz w:val="18"/>
      </w:rPr>
      <w:t xml:space="preserve"> </w:t>
    </w:r>
    <w:r>
      <w:rPr>
        <w:sz w:val="18"/>
      </w:rPr>
      <w:t>v</w:t>
    </w:r>
    <w:r>
      <w:rPr>
        <w:sz w:val="18"/>
      </w:rPr>
      <w:t>1</w:t>
    </w: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rPr>
        <w:sz w:val="16"/>
      </w:rPr>
    </w:pPr>
    <w:r>
      <w:rPr>
        <w:sz w:val="16"/>
      </w:rPr>
      <w:t>16 930 647</w:t>
    </w:r>
    <w:r>
      <w:rPr>
        <w:sz w:val="16"/>
      </w:rPr>
      <w:t xml:space="preserve"> </w:t>
    </w:r>
    <w:r>
      <w:rPr>
        <w:sz w:val="16"/>
      </w:rPr>
      <w:t>v</w:t>
    </w:r>
    <w:r>
      <w:rPr>
        <w:sz w:val="16"/>
      </w:rPr>
      <w:t>1</w:t>
    </w: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tabs>
        <w:tab w:leader="none" w:pos="2339" w:val="left"/>
        <w:tab w:leader="none" w:pos="4677" w:val="clear"/>
        <w:tab w:leader="none" w:pos="9355" w:val="clear"/>
      </w:tabs>
      <w:ind w:firstLine="0" w:left="1757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3_ch"/>
        <w:sz w:val="24"/>
      </w:rPr>
      <w:fldChar w:fldCharType="begin"/>
    </w:r>
    <w:r>
      <w:rPr>
        <w:rStyle w:val="Style_3_ch"/>
        <w:sz w:val="24"/>
      </w:rPr>
      <w:instrText xml:space="preserve">PAGE </w:instrText>
    </w:r>
    <w:r>
      <w:rPr>
        <w:rStyle w:val="Style_3_ch"/>
        <w:sz w:val="24"/>
      </w:rPr>
      <w:fldChar w:fldCharType="separate"/>
    </w:r>
    <w:r>
      <w:rPr>
        <w:rStyle w:val="Style_3_ch"/>
        <w:sz w:val="24"/>
      </w:rPr>
      <w:fldChar w:fldCharType="end"/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­"/>
      <w:lvlJc w:val="left"/>
      <w:pPr>
        <w:tabs>
          <w:tab w:leader="none" w:pos="780" w:val="left"/>
        </w:tabs>
        <w:ind w:hanging="360" w:left="780"/>
      </w:pPr>
      <w:rPr>
        <w:rFonts w:ascii="Courier New" w:hAnsi="Courier New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­"/>
      <w:lvlJc w:val="left"/>
      <w:pPr>
        <w:tabs>
          <w:tab w:leader="none" w:pos="720" w:val="left"/>
        </w:tabs>
        <w:ind w:hanging="360" w:left="720"/>
      </w:pPr>
      <w:rPr>
        <w:rFonts w:ascii="Courier New" w:hAnsi="Courier New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 CYR" w:hAnsi="Times New Roman CYR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Balloon Text"/>
    <w:basedOn w:val="Style_7"/>
    <w:link w:val="Style_8_ch"/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List Paragraph"/>
    <w:basedOn w:val="Style_7"/>
    <w:link w:val="Style_9_ch"/>
    <w:pPr>
      <w:ind w:firstLine="0" w:left="720"/>
      <w:contextualSpacing w:val="1"/>
    </w:pPr>
  </w:style>
  <w:style w:styleId="Style_9_ch" w:type="character">
    <w:name w:val="List Paragraph"/>
    <w:basedOn w:val="Style_7_ch"/>
    <w:link w:val="Style_9"/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3" w:type="paragraph">
    <w:name w:val="page number"/>
    <w:basedOn w:val="Style_12"/>
    <w:link w:val="Style_3_ch"/>
  </w:style>
  <w:style w:styleId="Style_3_ch" w:type="character">
    <w:name w:val="page number"/>
    <w:basedOn w:val="Style_12_ch"/>
    <w:link w:val="Style_3"/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Default"/>
    <w:link w:val="Style_5_ch"/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llowedHyperlink"/>
    <w:link w:val="Style_26_ch"/>
    <w:rPr>
      <w:color w:val="800080"/>
      <w:u w:val="single"/>
    </w:rPr>
  </w:style>
  <w:style w:styleId="Style_26_ch" w:type="character">
    <w:name w:val="FollowedHyperlink"/>
    <w:link w:val="Style_26"/>
    <w:rPr>
      <w:color w:val="800080"/>
      <w:u w:val="single"/>
    </w:rPr>
  </w:style>
  <w:style w:styleId="Style_27" w:type="paragraph">
    <w:name w:val="toc 10"/>
    <w:next w:val="Style_7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2021-11-17T08:30:45Z</dcterms:modified>
</cp:coreProperties>
</file>